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9EDB" w14:textId="2D1D02A0" w:rsidR="00ED4CEF" w:rsidRPr="00103E85" w:rsidRDefault="00ED4CEF" w:rsidP="003C6351">
      <w:pPr>
        <w:spacing w:after="0" w:line="276" w:lineRule="auto"/>
        <w:jc w:val="center"/>
        <w:rPr>
          <w:rFonts w:ascii="Times New Roman" w:hAnsi="Times New Roman" w:cs="Times New Roman"/>
          <w:b/>
          <w:sz w:val="28"/>
          <w:szCs w:val="28"/>
          <w:lang w:val="de-DE"/>
        </w:rPr>
      </w:pPr>
      <w:r>
        <w:rPr>
          <w:rFonts w:ascii="Times New Roman" w:hAnsi="Times New Roman" w:cs="Times New Roman"/>
          <w:b/>
          <w:bCs/>
          <w:sz w:val="28"/>
          <w:szCs w:val="28"/>
          <w:lang w:val="de-DE"/>
        </w:rPr>
        <w:t>BELEHRUNG DES ANGEKLAGTEN ÜBER SEINE RECHTE UND PFLICHTEN WÄHREND DER HAUPTVERHANDLUNG</w:t>
      </w:r>
    </w:p>
    <w:p w14:paraId="14E49CCA" w14:textId="263B7A3B" w:rsidR="001130EA" w:rsidRPr="00103E85" w:rsidRDefault="001130EA" w:rsidP="003C6351">
      <w:pPr>
        <w:spacing w:after="0" w:line="276" w:lineRule="auto"/>
        <w:jc w:val="center"/>
        <w:rPr>
          <w:rFonts w:ascii="Times New Roman" w:hAnsi="Times New Roman" w:cs="Times New Roman"/>
          <w:b/>
          <w:sz w:val="24"/>
          <w:szCs w:val="24"/>
          <w:lang w:val="de-DE"/>
        </w:rPr>
      </w:pPr>
      <w:r>
        <w:rPr>
          <w:rFonts w:ascii="Times New Roman" w:hAnsi="Times New Roman" w:cs="Times New Roman"/>
          <w:b/>
          <w:bCs/>
          <w:sz w:val="24"/>
          <w:szCs w:val="24"/>
          <w:lang w:val="de-DE"/>
        </w:rPr>
        <w:t>(</w:t>
      </w:r>
      <w:r>
        <w:rPr>
          <w:rFonts w:ascii="Times New Roman" w:hAnsi="Times New Roman" w:cs="Times New Roman"/>
          <w:b/>
          <w:bCs/>
          <w:color w:val="333333"/>
          <w:sz w:val="24"/>
          <w:szCs w:val="24"/>
          <w:shd w:val="clear" w:color="auto" w:fill="FFFFFF"/>
          <w:lang w:val="de-DE"/>
        </w:rPr>
        <w:t xml:space="preserve">Gesetz „Strafprozessordnung“ vom 6 Juni 1997, Rechtsstand: kodifizierte Fassung in Dz. U. </w:t>
      </w:r>
      <w:r>
        <w:rPr>
          <w:rFonts w:ascii="Times New Roman" w:hAnsi="Times New Roman" w:cs="Times New Roman"/>
          <w:b/>
          <w:bCs/>
          <w:i/>
          <w:iCs/>
          <w:color w:val="333333"/>
          <w:sz w:val="24"/>
          <w:szCs w:val="24"/>
          <w:shd w:val="clear" w:color="auto" w:fill="FFFFFF"/>
          <w:lang w:val="de-DE"/>
        </w:rPr>
        <w:t xml:space="preserve">[poln. GBl.] </w:t>
      </w:r>
      <w:r>
        <w:rPr>
          <w:rFonts w:ascii="Times New Roman" w:hAnsi="Times New Roman" w:cs="Times New Roman"/>
          <w:b/>
          <w:bCs/>
          <w:color w:val="333333"/>
          <w:sz w:val="24"/>
          <w:szCs w:val="24"/>
          <w:shd w:val="clear" w:color="auto" w:fill="FFFFFF"/>
          <w:lang w:val="de-DE"/>
        </w:rPr>
        <w:t>von 2025, Pos. 46 in der jeweils aktuellen Fassung</w:t>
      </w:r>
      <w:r>
        <w:rPr>
          <w:rFonts w:ascii="Times New Roman" w:hAnsi="Times New Roman" w:cs="Times New Roman"/>
          <w:b/>
          <w:bCs/>
          <w:sz w:val="24"/>
          <w:szCs w:val="24"/>
          <w:lang w:val="de-DE"/>
        </w:rPr>
        <w:t>)</w:t>
      </w:r>
    </w:p>
    <w:p w14:paraId="7860F752" w14:textId="77777777" w:rsidR="00ED4CEF" w:rsidRPr="00103E85" w:rsidRDefault="00ED4CEF" w:rsidP="003C6351">
      <w:pPr>
        <w:spacing w:after="0" w:line="276" w:lineRule="auto"/>
        <w:rPr>
          <w:rFonts w:ascii="Times New Roman" w:hAnsi="Times New Roman" w:cs="Times New Roman"/>
          <w:sz w:val="24"/>
          <w:szCs w:val="24"/>
          <w:lang w:val="de-DE"/>
        </w:rPr>
      </w:pPr>
    </w:p>
    <w:p w14:paraId="3AFCF4BC" w14:textId="4E082978" w:rsidR="00ED4CEF" w:rsidRPr="00103E85" w:rsidRDefault="00ED4CEF" w:rsidP="003C6351">
      <w:pPr>
        <w:spacing w:after="0" w:line="276" w:lineRule="auto"/>
        <w:jc w:val="both"/>
        <w:rPr>
          <w:rFonts w:ascii="Times New Roman" w:hAnsi="Times New Roman" w:cs="Times New Roman"/>
          <w:sz w:val="24"/>
          <w:szCs w:val="24"/>
          <w:u w:val="single"/>
          <w:lang w:val="de-DE"/>
        </w:rPr>
      </w:pPr>
      <w:r>
        <w:rPr>
          <w:rFonts w:ascii="Times New Roman" w:hAnsi="Times New Roman" w:cs="Times New Roman"/>
          <w:sz w:val="24"/>
          <w:szCs w:val="24"/>
          <w:u w:val="single"/>
          <w:lang w:val="de-DE"/>
        </w:rPr>
        <w:t>Der Angeklagte hat die folgenden Rechte:</w:t>
      </w:r>
    </w:p>
    <w:p w14:paraId="5E67279D" w14:textId="4E252E8B" w:rsidR="00E82F2D" w:rsidRPr="00103E85" w:rsidRDefault="001130EA"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 xml:space="preserve">Der Angeklagte hat das Recht auf Verteidigung, einschließlich des Rechts auf Beistand durch einen Verteidiger (Art. 6 StPO). Der vorläufig festgenommene Angeklagte kann mit seinem Verteidiger in Abwesenheit anderer Personen und auf dem Schriftweg kommunizieren (Art. 73 § 1 StPO). Der Angeklagte kann gleichzeitig nicht mehr als drei Verteidiger haben (Art. 77 StPO). Ein Angeklagter, der keinen Verteidiger seiner Wahl hat, kann die Bestellung eines Pflichtverteidigers beantragen, wenn er hinreichend nachweist, dass er die Kosten der Verteidigung nicht tragen kann, ohne Beeinträchtigung des notwendigen Unterhalts für sich und seine Familie. Die Weigerung, einen Pflichtverteidiger zu bestellen, darf nicht damit begründet werden, dass der Angeklagte unentgeltliche Rechtshilfe oder unentgeltliche Bürgerberatung laut </w:t>
      </w:r>
      <w:r>
        <w:rPr>
          <w:rFonts w:ascii="Times New Roman" w:hAnsi="Times New Roman" w:cs="Times New Roman"/>
          <w:sz w:val="24"/>
          <w:szCs w:val="24"/>
          <w:shd w:val="clear" w:color="auto" w:fill="FFFFFF"/>
          <w:lang w:val="de-DE"/>
        </w:rPr>
        <w:t>Gesetz</w:t>
      </w:r>
      <w:r>
        <w:rPr>
          <w:rFonts w:ascii="Times New Roman" w:hAnsi="Times New Roman" w:cs="Times New Roman"/>
          <w:color w:val="333333"/>
          <w:sz w:val="24"/>
          <w:szCs w:val="24"/>
          <w:shd w:val="clear" w:color="auto" w:fill="FFFFFF"/>
          <w:lang w:val="de-DE"/>
        </w:rPr>
        <w:t xml:space="preserve"> über unentgeltliche Rechtshilfe, unentgeltliche Bürgerberatung und Rechtsaufklärung vom 5. August 2015 (Dz. U. </w:t>
      </w:r>
      <w:r>
        <w:rPr>
          <w:rFonts w:ascii="Times New Roman" w:hAnsi="Times New Roman" w:cs="Times New Roman"/>
          <w:i/>
          <w:iCs/>
          <w:color w:val="333333"/>
          <w:sz w:val="24"/>
          <w:szCs w:val="24"/>
          <w:shd w:val="clear" w:color="auto" w:fill="FFFFFF"/>
          <w:lang w:val="de-DE"/>
        </w:rPr>
        <w:t xml:space="preserve">[poln. GBl.] </w:t>
      </w:r>
      <w:r>
        <w:rPr>
          <w:rFonts w:ascii="Times New Roman" w:hAnsi="Times New Roman" w:cs="Times New Roman"/>
          <w:color w:val="333333"/>
          <w:sz w:val="24"/>
          <w:szCs w:val="24"/>
          <w:shd w:val="clear" w:color="auto" w:fill="FFFFFF"/>
          <w:lang w:val="de-DE"/>
        </w:rPr>
        <w:t>von 2024, Pos. 1534) in Anspruch genommen hat. Der Angeklagte kann auch die Bestellung eines Pflichtverteidigers verlangen, um eine bestimmte Verfahrenshandlung vorzunehmen (Art. 78 §§ 1 und 2 StPO). In Strafverfahren muss der Angeklagte einen Verteidiger haben, wenn er unter 18 Jahre alt, taub, stumm oder blind ist, wenn begründete Zweifel bestehen, ob seine Fähigkeit, die Bedeutung der Tat zu erkennen oder sein Verhalten zu steuern, zum Zeitpunkt der Tat ausgeschlossen oder erheblich eingeschränkt war, wenn begründete Zweifel bestehen, ob sein psychischer Gesundheitszustand es ihm erlaubt, an dem Verfahren teilzunehmen oder seine Verteidigung selbstständig und vernünftig zu führen, sowie wenn das Gericht dies aufgrund anderer Umstände, die die Verteidigung erschweren, für erforderlich hält. In solchen Fällen ist die Teilnahme eines Verteidigers an der Verhandlung und an den Sitzungen, an denen die Teilnahme des Angeklagten obligatorisch ist, verpflichtend (Art. 79 §§ 1, 2 und 3 StPO). Der Angeklagte muss einen Verteidiger im Verfahren vor dem Bezirksgericht auch dann haben, wenn ihm ein Verbrechen vorgeworfen wird. In diesem Fall ist die Teilnahme eines Verteidigers an der Hauptverhandlung obligatorisch (Art. 80 StPO). Auf begründeten Antrag des Angeklagten oder seines Verteidigers kann der Vorsitzende oder der Rechtspfleger des für die Verhandlung zuständigen Gerichts einen neuen Verteidiger anstelle des bisherigen Verteidigers bestellen (Art. 81 § 2 StPO). Der Verteidiger wird vom Angeklagten bestellt; bis zur Bestellung eines Verteidigers durch den Angeklagten, dem die Freiheit entzogen ist, kann der Verteidiger von einer anderen Person bestellt werden. Die Verteidigungsvollmacht kann schriftlich oder zu Protokoll der das Strafverfahren führenden Behörde erteilt werden (Art. 83 §§ 1 und 2 StPO);</w:t>
      </w:r>
    </w:p>
    <w:p w14:paraId="2FD6E8B1" w14:textId="4363AA44" w:rsidR="001130EA" w:rsidRPr="003C6351" w:rsidRDefault="001130EA"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de-DE"/>
        </w:rPr>
        <w:t xml:space="preserve">Das Gericht oder der Rechtspfleger und im Ermittlungsverfahren der Staatsanwalt oder eine andere das Ermittlungsverfahren durchführende Behörde kann auf eigene Initiative oder mit Zustimmung des Angeklagten und des Geschädigten die Sache an eine dazu befugte Einrichtung oder Person weiterleiten, um ein Mediationsverfahren zwischen dem </w:t>
      </w:r>
      <w:r>
        <w:rPr>
          <w:rFonts w:ascii="Times New Roman" w:hAnsi="Times New Roman" w:cs="Times New Roman"/>
          <w:color w:val="333333"/>
          <w:sz w:val="24"/>
          <w:szCs w:val="24"/>
          <w:shd w:val="clear" w:color="auto" w:fill="FFFFFF"/>
          <w:lang w:val="de-DE"/>
        </w:rPr>
        <w:lastRenderedPageBreak/>
        <w:t xml:space="preserve">Geschädigten und dem Angeklagten durchzuführen. Der Mediator darf nicht als Zeuge zu Tatsachen befragt werden, die er im Rahmen des Mediationsverfahrens vom Angeklagten oder vom Geschädigten erfahren hat, mit Ausnahme von Informationen über Straftaten im Sinne von </w:t>
      </w:r>
      <w:r>
        <w:rPr>
          <w:rFonts w:ascii="Times New Roman" w:hAnsi="Times New Roman" w:cs="Times New Roman"/>
          <w:sz w:val="24"/>
          <w:szCs w:val="24"/>
          <w:shd w:val="clear" w:color="auto" w:fill="FFFFFF"/>
          <w:lang w:val="de-DE"/>
        </w:rPr>
        <w:t>Art. 240 § 1</w:t>
      </w:r>
      <w:r>
        <w:rPr>
          <w:rFonts w:ascii="Times New Roman" w:hAnsi="Times New Roman" w:cs="Times New Roman"/>
          <w:color w:val="333333"/>
          <w:sz w:val="24"/>
          <w:szCs w:val="24"/>
          <w:shd w:val="clear" w:color="auto" w:fill="FFFFFF"/>
          <w:lang w:val="de-DE"/>
        </w:rPr>
        <w:t xml:space="preserve"> Strafgesetzbuch. Die Teilnahme des Angeklagten und des Geschädigten am Mediationsverfahren ist freiwillig. (Art. 23a §§ 1 und 4 StPO);</w:t>
      </w:r>
    </w:p>
    <w:p w14:paraId="6187BBC2" w14:textId="6D531B59" w:rsidR="005233E9" w:rsidRPr="00103E85" w:rsidRDefault="00E3090D"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Der Angeklagte hat das Recht auf unentgeltliche Beiziehung eines Dolmetschers, wenn er des Polnischen nicht ausreichend mächtig ist. Auf Antrag des Angeklagten oder seines Verteidigers ist ein Dolmetscher auch herbeizuziehen, damit der Angeklagte mit seinem Verteidiger über eine Handlung, zu deren Teilnahme der Angeklagte berechtigt ist, eine Vereinbarung treffen kann. Dem Angeklagten werden die Entscheidung über die Erhebung, Ergänzung oder Änderung der Tatvorwürfe, die Anklageschrift und die anfechtbare oder verfahrensabschließende Entscheidung nebst Übersetzung zugestellt; mit Zustimmung des Angeklagten kann von der Zustellung abgesehen und lediglich die Übersetzung der das Verfahren abschließenden Entscheidung verkündet werden, sofern diese nicht anfechtbar ist (Art. 72 §§ 1, 2 und 3 StPO);</w:t>
      </w:r>
    </w:p>
    <w:p w14:paraId="6966F80B" w14:textId="13F25C8A" w:rsidR="00E3090D" w:rsidRPr="00103E85" w:rsidRDefault="00E3090D"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Der Angeklagte ist nicht verpflichtet, seine Unschuld zu beweisen oder Beweise zu seinen Ungunsten vorzulegen (Art. 74 § 1 StPO). Die Beweisaufnahme erfolgt auf Antrag der Verfahrensbeteiligten oder von Amts wegen (Art. 167 StPO). Im Beweisantrag sind die Bezeichnung des Beweismittels und die zu beweisenden Umstände anzugeben. Es kann auch die Art und Weise der Beweisaufnahme festgelegt werden (Art. 169 § 1 StPO);</w:t>
      </w:r>
    </w:p>
    <w:p w14:paraId="7436F57D" w14:textId="7C9E9006" w:rsidR="00E3090D" w:rsidRPr="00103E85" w:rsidRDefault="00266201"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 xml:space="preserve">Ist der Angeklagte unter 18 Jahre alt oder entmündigt, kann sein gesetzlicher Vertreter oder die Person, unter deren Obhut er steht, alle Verfahrenshandlungen zu seinen Gunsten vornehmen, insbesondere Rechtsmittel einlegen, Anträge stellen und einen Verteidiger bestellen (Art. 76 StPO). Auf Antrag eines Angeklagten, der das 18. Lebensjahr noch nicht vollendet hat, kann sein gesetzlicher Vertreter oder die Person, unter deren Obhut der Angeklagte steht, während der Sitzung oder Verhandlung, an der er teilnimmt, anwesend sein. Hat der Angeklagte keinen gesetzlichen Vertreter oder keine Person, unter deren Obhut er steht, oder hat der Vorsitzende festgestellt, dass die Teilnahme dieser Personen zu einer Verletzung der Rechte oder Interessen des Angeklagten führen kann, seinem Wohl nicht dienlich ist, die Durchführung der Sitzung oder Verhandlung unmöglich macht oder erheblich erschwert, kann der Angeklagte eine andere volljährige Person benennen. Hat der Angeklagte keine solche Person benannt oder hat der Vorsitzende festgestellt, dass deren Anwesenheit zu einer Verletzung der Rechte oder Interessen des Angeklagten führen kann, seinem Wohl nicht dienlich ist, die Durchführung der Sitzung oder der Verhandlung unmöglich macht oder erheblich erschwert, ernennt der Vorsitzende einen Familienhelfer gemäß </w:t>
      </w:r>
      <w:r>
        <w:rPr>
          <w:rFonts w:ascii="Times New Roman" w:hAnsi="Times New Roman" w:cs="Times New Roman"/>
          <w:sz w:val="24"/>
          <w:szCs w:val="24"/>
          <w:shd w:val="clear" w:color="auto" w:fill="FFFFFF"/>
          <w:lang w:val="de-DE"/>
        </w:rPr>
        <w:t>Art. 12</w:t>
      </w:r>
      <w:r>
        <w:rPr>
          <w:rFonts w:ascii="Times New Roman" w:hAnsi="Times New Roman" w:cs="Times New Roman"/>
          <w:color w:val="333333"/>
          <w:sz w:val="24"/>
          <w:szCs w:val="24"/>
          <w:shd w:val="clear" w:color="auto" w:fill="FFFFFF"/>
          <w:lang w:val="de-DE"/>
        </w:rPr>
        <w:t xml:space="preserve"> des Gesetzes über die Familienförderung und das Pflegefamiliensystem vom 9. Juni 2011 (Dz. U. </w:t>
      </w:r>
      <w:r>
        <w:rPr>
          <w:rFonts w:ascii="Times New Roman" w:hAnsi="Times New Roman" w:cs="Times New Roman"/>
          <w:i/>
          <w:iCs/>
          <w:color w:val="333333"/>
          <w:sz w:val="24"/>
          <w:szCs w:val="24"/>
          <w:shd w:val="clear" w:color="auto" w:fill="FFFFFF"/>
          <w:lang w:val="de-DE"/>
        </w:rPr>
        <w:t xml:space="preserve">[poln. GBl.] </w:t>
      </w:r>
      <w:r>
        <w:rPr>
          <w:rFonts w:ascii="Times New Roman" w:hAnsi="Times New Roman" w:cs="Times New Roman"/>
          <w:color w:val="333333"/>
          <w:sz w:val="24"/>
          <w:szCs w:val="24"/>
          <w:shd w:val="clear" w:color="auto" w:fill="FFFFFF"/>
          <w:lang w:val="de-DE"/>
        </w:rPr>
        <w:t>von 2024, Pos. 177, 742, 743, 858 und 1572). (Art. 76a § 1 StPO);</w:t>
      </w:r>
    </w:p>
    <w:p w14:paraId="6A083CC0" w14:textId="294FDEA8" w:rsidR="00266201" w:rsidRPr="00103E85" w:rsidRDefault="008716FB"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Soweit gesetzlich vorgesehen, steht Verfahrensbeteiligten und am Verfahren nicht als Partei beteiligten Dritten bei Nachweis eines rechtlichen Interesses an der Entscheidung ein Teilnahmerecht an der Verhandlung zu, sofern sie nicht ohnehin zur Anwesenheit verpflichtet sind (Art. 96 § 1 StPO);</w:t>
      </w:r>
    </w:p>
    <w:p w14:paraId="4A3150BD" w14:textId="518C678D" w:rsidR="008716FB" w:rsidRPr="00103E85" w:rsidRDefault="00084070"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 xml:space="preserve">Das Urteil wird den zur Einlegung eines Rechtsmittels berechtigten Personen zugestellt, wenn dies gesetzlich vorgeschrieben ist. Eine außerhalb der Verhandlung erlassene </w:t>
      </w:r>
      <w:r>
        <w:rPr>
          <w:rFonts w:ascii="Times New Roman" w:hAnsi="Times New Roman" w:cs="Times New Roman"/>
          <w:color w:val="333333"/>
          <w:sz w:val="24"/>
          <w:szCs w:val="24"/>
          <w:shd w:val="clear" w:color="auto" w:fill="FFFFFF"/>
          <w:lang w:val="de-DE"/>
        </w:rPr>
        <w:lastRenderedPageBreak/>
        <w:t>Entscheidung oder eine solche Verfügung, gegen die ein Rechtsmittel zulässig ist, wird den zur Einlegung dieses Rechtsmittels befugten Personen zugestellt, und die verfahrensabschließende Entscheidung wird den Verfahrensbeteiligten zugestellt, es sei denn, sie waren bei der Verkündung der Entscheidung oder Verfügung anwesend. Den Verfahrensbeteiligten wird auch die Entscheidung nebst Begründung zugestellt, wenn die Abfassung einer Begründung der Entscheidung um bis zu 7 Tage aufgeschoben wurde. Die Verfahrensbeteiligten sind über den Inhalt anderer Entscheidungen und Verfügungen zu benachrichtigen, die außerhalb der Verhandlung und der Sitzung ergangen sind, sowie über solche, die in einer Sitzung ergangen sind, über deren Termin der Verfahrensbeteiligte nicht benachrichtigt wurde (Art. 100 §§ 3, 4 und 5 StPO);</w:t>
      </w:r>
    </w:p>
    <w:p w14:paraId="126D713B" w14:textId="1FD89691" w:rsidR="00CE0C18" w:rsidRPr="00103E85" w:rsidRDefault="00485C27"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Entscheidungen und Verfügungen werden in beglaubigten Abschriften zugestellt, wenn das Gesetz ihre Zustellung vorschreibt (Art. 128 § 1 StPO);</w:t>
      </w:r>
    </w:p>
    <w:p w14:paraId="531507F3" w14:textId="4941A292" w:rsidR="00434123" w:rsidRPr="00103E85" w:rsidRDefault="00434123"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Der Verlauf der protokollierten Handlungen kann zusätzlich mit einem Bild- oder Tonaufzeichnungsgerät festgehalten werden, worüber die an der Handlung beteiligten Personen vor dem Start des Geräts zu informieren sind. Der Verfahrensbeteiligte hat das Recht, gegen Entgelt eine Kopie der Bild- oder Tonaufzeichnung zu erhalten. Dies gilt nicht für den Verlauf der Verhandlung oder andere Handlungen, die unter Ausschluss der Öffentlichkeit stattfinden. Aus wichtigen Gründen, die durch den Schutz der Privatsphäre der an der Verhandlung teilnehmenden Personen gerechtfertigt sind, kann der Gerichtspräsident die Erstellung einer Kopie der Bildaufzeichnung der Verhandlung für die Verfahrensbeteiligten ablehnen (Art. 147 §§ 1 und 4 StPO). Die an der Verhandlung teilnehmenden Personen haben das Recht, die Verlesung der in das Protokoll aufgenommenen Auszüge ihrer Aussagen zu verlangen (Art. 148 § 4 StPO).</w:t>
      </w:r>
    </w:p>
    <w:p w14:paraId="7606A0A4" w14:textId="13A2EA31" w:rsidR="008C26DC" w:rsidRPr="003C6351" w:rsidRDefault="008C26DC"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de-DE"/>
        </w:rPr>
        <w:t>Den Verfahrensbeteiligten werden die Gerichtsakten zugänglich gemacht und sie erhalten die Möglichkeit, Abschriften oder Kopien davon anzufertigen. Informationen über die Gerichtsakten können auch über ein Telekommunikationssystem zugänglich gemacht werden, sofern technische Gründe dem nicht entgegenstehen. Auf Antrag des Angeklagten oder seines Verteidigers werden gegen Entgelt Kopien von Dokumenten aus den Gerichtsakten ausgestellt. Für selbst angefertigte Kopien wird keine Gebühr erhoben. Besteht die Gefahr der Offenlegung von Verschlusssachen mit der Geheimhaltungsstufe „geheim” oder „streng geheim”, so erfolgt die Einsichtnahme in die Akten, die Anfertigung von Abschriften und Kopien unter Einhaltung der vom Gerichtspräsidenten oder vom Gericht festgelegten Sicherheitsvorkehrungen. Beglaubigte Abschriften und Kopien werden nicht ausgestellt, sofern das Gesetz nichts anderes vorsieht. (Art. 156 §§ 1, 2 und 4 StPO);</w:t>
      </w:r>
    </w:p>
    <w:p w14:paraId="6379D267" w14:textId="53D4C511" w:rsidR="008C26DC" w:rsidRPr="003C6351" w:rsidRDefault="00453E89"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de-DE"/>
        </w:rPr>
        <w:t xml:space="preserve">Den Verfahrensbeteiligten und Personen, die von der Entscheidung unmittelbar betroffen sind, ist auf Antrag kostenlos eine beglaubigte Abschrift jeder Entscheidung auszuhändigen. Die Abschrift wird mit einer Begründung ausgestellt, sofern eine solche erstellt wurde. In Fällen, in denen die Öffentlichkeit aufgrund eines wichtigen staatlichen Interesses ausgeschlossen wurde, wird den in § 1 genannten Personen nur eine Ausfertigung der Entscheidung, die das Verfahren in der jeweiligen Instanz abschließt, ohne Begründung ausgestellt. Einem Verfahrensbeteiligten darf die Genehmigung zur Anfertigung einer Abschrift des Protokolls einer Amtshandlung, an der er teilgenommen </w:t>
      </w:r>
      <w:r>
        <w:rPr>
          <w:rFonts w:ascii="Times New Roman" w:hAnsi="Times New Roman" w:cs="Times New Roman"/>
          <w:color w:val="333333"/>
          <w:sz w:val="24"/>
          <w:szCs w:val="24"/>
          <w:shd w:val="clear" w:color="auto" w:fill="FFFFFF"/>
          <w:lang w:val="de-DE"/>
        </w:rPr>
        <w:lastRenderedPageBreak/>
        <w:t>hat oder teilnahmeberechtigt war, sowie eines von ihm stammenden oder mit seiner Beteiligung errichteten Dokuments nicht verweigert werden. (Art. 157 § 1, 2 und 3 StPO);</w:t>
      </w:r>
    </w:p>
    <w:p w14:paraId="2498FA17" w14:textId="164E5BA5" w:rsidR="00AA5D55" w:rsidRPr="00103E85" w:rsidRDefault="00AA5D55"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Vor der ersten Vernehmung erhält ein Angeklagter, der das 18. Lebensjahr noch nicht vollendet hat, Informationen über den Ablauf, die Art und die Bedingungen der Vernehmung. Die Informationen enthalten eine deskriptive oder grafische Darstellung des Ablaufs, der Art und der Bedingungen der Vernehmung. Zwischen der Zustellung der Informationen und dem Vernehmungstermin müssen mindestens drei Tage liegen, es sei denn, dies steht dem Wohl des Verfahrens entgegen (Art. 171 §§ 8 und 9 StPO);</w:t>
      </w:r>
    </w:p>
    <w:p w14:paraId="571E88B4" w14:textId="272C5EFA" w:rsidR="00240EA6" w:rsidRPr="00103E85" w:rsidRDefault="00240EA6"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Der Angeklagte hat das Recht, sich zur Anklage zu äußern; es steht ihm jedoch frei, keine Angaben zur Sache zu machen oder die Beantwortung einzelner Fragen zu verweigern. Der bei den Beweiserhebungen anwesende Angeklagte hat das Recht, sich zu jedem Beweismittel zu äußern (Art. 175 §§ 1 und 2 StPO);</w:t>
      </w:r>
    </w:p>
    <w:p w14:paraId="6C445BE8" w14:textId="605EA240" w:rsidR="00240EA6" w:rsidRPr="00103E85" w:rsidRDefault="00240EA6"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Der Angeklagte kann jederzeit einen Antrag auf Aufhebung oder Änderung der Zwangsmaßnahme stellen; über den Antrag entscheidet spätestens innerhalb von drei Tagen der Staatsanwalt und nach Einreichung der Anklageschrift beim Gericht das Gericht, vor dem die Sache verhandelt wird (Art. 254 § 1 StPO).</w:t>
      </w:r>
    </w:p>
    <w:p w14:paraId="298359ED" w14:textId="015E5B23" w:rsidR="00FE4BDB" w:rsidRPr="003C6351" w:rsidRDefault="00C66FA6"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de-DE"/>
        </w:rPr>
        <w:t>Zwischen der Zustellung der Benachrichtigung und dem Termin der Hauptverhandlung müssen mindestens 7 Tage liegen. Wird diese Frist gegenüber dem Angeklagten oder seinem Verteidiger nicht eingehalten, wird die Verhandlung auf deren Antrag, der vor Beginn des Gerichtsverfahrens gestellt werden muss, vertagt. Bei der Zustellung der Benachrichtigung an einen Angeklagten, dem die Freiheit entzogen ist, dessen Anwesenheit bei der Verhandlung nicht obligatorisch ist, ist dieser über sein Recht zu belehren, innerhalb von 7 Tagen nach Zustellung der Benachrichtigung einen Antrag auf Vorführung zur Verhandlung zu stellen. Ein Antrag auf Vorführung zur Verhandlung, der nach Ablauf der in § 3 genannten Frist gestellt wird, wird geprüft, wenn dies keine Änderung des Verhandlungstermins erforderlich macht. (Art. 353 §§ 1, 2, 3 und 5 StPO);</w:t>
      </w:r>
    </w:p>
    <w:p w14:paraId="1BDAEBB0" w14:textId="2E2C632C" w:rsidR="002124E5" w:rsidRPr="00103E85" w:rsidRDefault="002124E5" w:rsidP="003C6351">
      <w:pPr>
        <w:pStyle w:val="Akapitzlist"/>
        <w:numPr>
          <w:ilvl w:val="0"/>
          <w:numId w:val="6"/>
        </w:numPr>
        <w:spacing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Der Angeklagte hat das Recht, an der Verhandlung teilzunehmen. Der Vorsitzende oder das Gericht kann seine Anwesenheit für obligatorisch erklären.</w:t>
      </w:r>
      <w:r>
        <w:rPr>
          <w:rFonts w:ascii="Times New Roman" w:hAnsi="Times New Roman" w:cs="Times New Roman"/>
          <w:sz w:val="24"/>
          <w:szCs w:val="24"/>
          <w:lang w:val="de-DE"/>
        </w:rPr>
        <w:t xml:space="preserve"> </w:t>
      </w:r>
      <w:r>
        <w:rPr>
          <w:rFonts w:ascii="Times New Roman" w:hAnsi="Times New Roman" w:cs="Times New Roman"/>
          <w:color w:val="333333"/>
          <w:sz w:val="24"/>
          <w:szCs w:val="24"/>
          <w:shd w:val="clear" w:color="auto" w:fill="FFFFFF"/>
          <w:lang w:val="de-DE"/>
        </w:rPr>
        <w:t>In Verfahren wegen Verbrechen ist die Anwesenheit des Angeklagten bei den in Art. 385 und Art. 386 genannten Handlungen obligatorisch.</w:t>
      </w:r>
      <w:r>
        <w:rPr>
          <w:rFonts w:ascii="Times New Roman" w:hAnsi="Times New Roman" w:cs="Times New Roman"/>
          <w:sz w:val="24"/>
          <w:szCs w:val="24"/>
          <w:lang w:val="de-DE"/>
        </w:rPr>
        <w:t xml:space="preserve"> </w:t>
      </w:r>
      <w:r>
        <w:rPr>
          <w:rFonts w:ascii="Times New Roman" w:hAnsi="Times New Roman" w:cs="Times New Roman"/>
          <w:color w:val="333333"/>
          <w:sz w:val="24"/>
          <w:szCs w:val="24"/>
          <w:shd w:val="clear" w:color="auto" w:fill="FFFFFF"/>
          <w:lang w:val="de-DE"/>
        </w:rPr>
        <w:t>Der Vorsitzende kann eine Verfügung erlassen, um zu verhindern, dass der Angeklagte vor Beendigung der Verhandlung den Gerichtssaal verlässt.</w:t>
      </w:r>
      <w:r>
        <w:rPr>
          <w:rFonts w:ascii="Times New Roman" w:hAnsi="Times New Roman" w:cs="Times New Roman"/>
          <w:sz w:val="24"/>
          <w:szCs w:val="24"/>
          <w:lang w:val="de-DE"/>
        </w:rPr>
        <w:t xml:space="preserve"> </w:t>
      </w:r>
      <w:r>
        <w:rPr>
          <w:rFonts w:ascii="Times New Roman" w:hAnsi="Times New Roman" w:cs="Times New Roman"/>
          <w:color w:val="333333"/>
          <w:sz w:val="24"/>
          <w:szCs w:val="24"/>
          <w:shd w:val="clear" w:color="auto" w:fill="FFFFFF"/>
          <w:lang w:val="de-DE"/>
        </w:rPr>
        <w:t>Der Vorsitzende gestattet auf Antrag des Staatsanwalts dessen Teilnahme an der Verhandlung unter Verwendung technischer Geräte, die eine Fernteilnahme an der Verhandlung mit gleichzeitiger direkter Bild- und Tonübertragung ermöglichen, sofern keine technischen Gründe dagegen sprechen.</w:t>
      </w:r>
      <w:r>
        <w:rPr>
          <w:rFonts w:ascii="Times New Roman" w:hAnsi="Times New Roman" w:cs="Times New Roman"/>
          <w:sz w:val="24"/>
          <w:szCs w:val="24"/>
          <w:lang w:val="de-DE"/>
        </w:rPr>
        <w:t xml:space="preserve"> </w:t>
      </w:r>
      <w:r>
        <w:rPr>
          <w:rFonts w:ascii="Times New Roman" w:hAnsi="Times New Roman" w:cs="Times New Roman"/>
          <w:color w:val="333333"/>
          <w:sz w:val="24"/>
          <w:szCs w:val="24"/>
          <w:shd w:val="clear" w:color="auto" w:fill="FFFFFF"/>
          <w:lang w:val="de-DE"/>
        </w:rPr>
        <w:t>Der Vorsitzende kann den Angeklagten, den Nebenkläger oder den Privatkläger, denen die Freiheit entzogen ist, von der Pflicht zur Teilnahme an der Verhandlung befreien, wenn die Teilnahme dieser Beteiligten an der Verhandlung durch technische Geräte, die eine Fernteilnahme an der Verhandlung mit gleichzeitiger direkter Bild- und Tonübertragung ermöglichen, gewährleistet ist.</w:t>
      </w:r>
      <w:r>
        <w:rPr>
          <w:rFonts w:ascii="Times New Roman" w:hAnsi="Times New Roman" w:cs="Times New Roman"/>
          <w:sz w:val="24"/>
          <w:szCs w:val="24"/>
          <w:lang w:val="de-DE"/>
        </w:rPr>
        <w:t xml:space="preserve">In diesem Fall </w:t>
      </w:r>
      <w:r>
        <w:rPr>
          <w:rFonts w:ascii="Times New Roman" w:hAnsi="Times New Roman" w:cs="Times New Roman"/>
          <w:color w:val="333333"/>
          <w:sz w:val="24"/>
          <w:szCs w:val="24"/>
          <w:shd w:val="clear" w:color="auto" w:fill="FFFFFF"/>
          <w:lang w:val="de-DE"/>
        </w:rPr>
        <w:t>nimmt an der Verhandlung am Aufenthaltsort des Beteiligten ein Rechtspfleger oder ein Assistent des Richters teil, der bei dem Gericht beschäftigt ist, in dessen Bezirk sich der Verfahrensbeteiligte aufhält, oder ein Vertreter der Verwaltung der Strafvollzugsanstalt oder der Untersuchungshaftanstalt, wenn sich der Verfahrensbeteiligte in einer Strafvollzugsanstalt oder einer Untersuchungshaftanstalt befindet.</w:t>
      </w:r>
      <w:r>
        <w:rPr>
          <w:rFonts w:ascii="Times New Roman" w:hAnsi="Times New Roman" w:cs="Times New Roman"/>
          <w:sz w:val="24"/>
          <w:szCs w:val="24"/>
          <w:lang w:val="de-DE"/>
        </w:rPr>
        <w:t xml:space="preserve"> </w:t>
      </w:r>
      <w:r>
        <w:rPr>
          <w:rFonts w:ascii="Times New Roman" w:hAnsi="Times New Roman" w:cs="Times New Roman"/>
          <w:color w:val="333333"/>
          <w:sz w:val="24"/>
          <w:szCs w:val="24"/>
          <w:shd w:val="clear" w:color="auto" w:fill="FFFFFF"/>
          <w:lang w:val="de-DE"/>
        </w:rPr>
        <w:t xml:space="preserve">Der Verteidiger nimmt </w:t>
      </w:r>
      <w:r>
        <w:rPr>
          <w:rFonts w:ascii="Times New Roman" w:hAnsi="Times New Roman" w:cs="Times New Roman"/>
          <w:color w:val="333333"/>
          <w:sz w:val="24"/>
          <w:szCs w:val="24"/>
          <w:shd w:val="clear" w:color="auto" w:fill="FFFFFF"/>
          <w:lang w:val="de-DE"/>
        </w:rPr>
        <w:lastRenderedPageBreak/>
        <w:t>an der Verhandlung teil, die gemäß § 4 am Aufenthaltsort des Angeklagten durchgeführt wird, es sei denn, er erscheint zu diesem Zweck vor Gericht</w:t>
      </w:r>
      <w:r>
        <w:rPr>
          <w:rFonts w:ascii="Times New Roman" w:hAnsi="Times New Roman" w:cs="Times New Roman"/>
          <w:sz w:val="24"/>
          <w:szCs w:val="24"/>
          <w:lang w:val="de-DE"/>
        </w:rPr>
        <w:t xml:space="preserve">. </w:t>
      </w:r>
      <w:r>
        <w:rPr>
          <w:rFonts w:ascii="Times New Roman" w:hAnsi="Times New Roman" w:cs="Times New Roman"/>
          <w:color w:val="333333"/>
          <w:sz w:val="24"/>
          <w:szCs w:val="24"/>
          <w:shd w:val="clear" w:color="auto" w:fill="FFFFFF"/>
          <w:lang w:val="de-DE"/>
        </w:rPr>
        <w:t>Nimmt der Verteidiger an der Verhandlung teil, während er sich an einem anderen Ort als der Angeklagte befindet, kann das Gericht auf Antrag des Angeklagten oder des Verteidigers eine Unterbrechung für einen bestimmten Zeitraum anordnen, um die Verhandlung am selben Tag fortzusetzen, damit der Verteidiger telefonisch mit dem Angeklagten Kontakt aufnehmen kann, es sei denn, dieser Antrag dient offensichtlich nicht der Verwirklichung des Rechts auf Verteidigung und zielt insbesondere darauf ab, die Verhandlung zu stören oder ungerechtfertigt zu verlängern.</w:t>
      </w:r>
      <w:r>
        <w:rPr>
          <w:rFonts w:ascii="Times New Roman" w:hAnsi="Times New Roman" w:cs="Times New Roman"/>
          <w:sz w:val="24"/>
          <w:szCs w:val="24"/>
          <w:lang w:val="de-DE"/>
        </w:rPr>
        <w:t xml:space="preserve"> </w:t>
      </w:r>
      <w:r>
        <w:rPr>
          <w:rFonts w:ascii="Times New Roman" w:hAnsi="Times New Roman" w:cs="Times New Roman"/>
          <w:color w:val="333333"/>
          <w:sz w:val="24"/>
          <w:szCs w:val="24"/>
          <w:shd w:val="clear" w:color="auto" w:fill="FFFFFF"/>
          <w:lang w:val="de-DE"/>
        </w:rPr>
        <w:t>Ist die Teilnahme eines Dolmetschers an der Verhandlung gemäß § 4 erforderlich, nimmt der Dolmetscher an der Verhandlung am Aufenthaltsort des Angeklagten, der des Polnischen nicht ausreichend mächtig ist, oder am Aufenthaltsort der Person, auf die die in Art. 204 § 1 Ziff. 1 genannten Umstände zutreffen, teil, sofern der Vorsitzende nichts anderes anordnet</w:t>
      </w:r>
      <w:r>
        <w:rPr>
          <w:rFonts w:ascii="Times New Roman" w:hAnsi="Times New Roman" w:cs="Times New Roman"/>
          <w:sz w:val="24"/>
          <w:szCs w:val="24"/>
          <w:lang w:val="de-DE"/>
        </w:rPr>
        <w:t xml:space="preserve"> (Art. 374 §§ 1–8 StPO).</w:t>
      </w:r>
    </w:p>
    <w:p w14:paraId="01780E3E" w14:textId="0DC64F82" w:rsidR="00805394" w:rsidRPr="00103E85" w:rsidRDefault="00805394" w:rsidP="00805394">
      <w:pPr>
        <w:pStyle w:val="Akapitzlist"/>
        <w:numPr>
          <w:ilvl w:val="0"/>
          <w:numId w:val="6"/>
        </w:numPr>
        <w:shd w:val="clear" w:color="auto" w:fill="FFFFFF"/>
        <w:spacing w:before="72" w:after="0" w:line="240" w:lineRule="auto"/>
        <w:ind w:left="426" w:hanging="66"/>
        <w:jc w:val="both"/>
        <w:rPr>
          <w:rFonts w:ascii="Times New Roman" w:eastAsia="Times New Roman" w:hAnsi="Times New Roman" w:cs="Times New Roman"/>
          <w:color w:val="333333"/>
          <w:sz w:val="24"/>
          <w:szCs w:val="24"/>
          <w:lang w:val="de-DE"/>
        </w:rPr>
      </w:pPr>
      <w:r>
        <w:rPr>
          <w:rFonts w:ascii="Times New Roman" w:eastAsia="Times New Roman" w:hAnsi="Times New Roman" w:cs="Times New Roman"/>
          <w:color w:val="333333"/>
          <w:sz w:val="24"/>
          <w:szCs w:val="24"/>
          <w:lang w:val="de-DE"/>
        </w:rPr>
        <w:t> Wenn der Vorsitzende bei der Anordnung einer Unterbrechung der Verhandlung gleichzeitig den Zeitpunkt und den Ort der Fortsetzung der Verhandlung festlegt, sind die Personen, die bei der unterbrochenen Verhandlung anwesend waren und deren Anwesenheit obligatorisch war, verpflichtet, ohne Aufforderung zum neuen Termin zu erscheinen. Erscheinungsberechtigte Personen müssen nicht über den neuen Termin informiert werden, auch wenn sie an der unterbrochenen Verhandlung nicht teilgenommen haben (Art. 402 § 1).</w:t>
      </w:r>
    </w:p>
    <w:p w14:paraId="77E54A40" w14:textId="77777777" w:rsidR="00805394" w:rsidRPr="00103E85" w:rsidRDefault="00805394" w:rsidP="00805394">
      <w:pPr>
        <w:pStyle w:val="Akapitzlist"/>
        <w:spacing w:after="0" w:line="276" w:lineRule="auto"/>
        <w:ind w:left="426"/>
        <w:jc w:val="both"/>
        <w:rPr>
          <w:rFonts w:ascii="Times New Roman" w:hAnsi="Times New Roman" w:cs="Times New Roman"/>
          <w:sz w:val="24"/>
          <w:szCs w:val="24"/>
          <w:lang w:val="de-DE"/>
        </w:rPr>
      </w:pPr>
    </w:p>
    <w:p w14:paraId="3E315941" w14:textId="6AAD4538" w:rsidR="00E82F2D" w:rsidRPr="00103E85" w:rsidRDefault="00E82F2D" w:rsidP="003C6351">
      <w:pPr>
        <w:spacing w:after="0" w:line="276" w:lineRule="auto"/>
        <w:jc w:val="both"/>
        <w:rPr>
          <w:rFonts w:ascii="Times New Roman" w:hAnsi="Times New Roman" w:cs="Times New Roman"/>
          <w:sz w:val="24"/>
          <w:szCs w:val="24"/>
          <w:lang w:val="de-DE"/>
        </w:rPr>
      </w:pPr>
    </w:p>
    <w:p w14:paraId="39996D70" w14:textId="2E46A7A5" w:rsidR="00E82F2D" w:rsidRPr="00103E85" w:rsidRDefault="00E82F2D" w:rsidP="003C6351">
      <w:pPr>
        <w:spacing w:after="0" w:line="276" w:lineRule="auto"/>
        <w:jc w:val="both"/>
        <w:rPr>
          <w:rFonts w:ascii="Times New Roman" w:hAnsi="Times New Roman" w:cs="Times New Roman"/>
          <w:sz w:val="24"/>
          <w:szCs w:val="24"/>
          <w:u w:val="single"/>
          <w:lang w:val="de-DE"/>
        </w:rPr>
      </w:pPr>
      <w:r>
        <w:rPr>
          <w:rFonts w:ascii="Times New Roman" w:hAnsi="Times New Roman" w:cs="Times New Roman"/>
          <w:sz w:val="24"/>
          <w:szCs w:val="24"/>
          <w:u w:val="single"/>
          <w:lang w:val="de-DE"/>
        </w:rPr>
        <w:t>Der Angeklagte hat die folgenden Pflichten:</w:t>
      </w:r>
    </w:p>
    <w:p w14:paraId="7DA8642B" w14:textId="77777777" w:rsidR="00E3090D" w:rsidRPr="00103E85" w:rsidRDefault="00E3090D" w:rsidP="003C6351">
      <w:pPr>
        <w:pStyle w:val="Akapitzlist"/>
        <w:numPr>
          <w:ilvl w:val="0"/>
          <w:numId w:val="7"/>
        </w:numPr>
        <w:spacing w:after="0" w:line="276" w:lineRule="auto"/>
        <w:ind w:left="426"/>
        <w:jc w:val="both"/>
        <w:rPr>
          <w:rFonts w:ascii="Times New Roman" w:hAnsi="Times New Roman" w:cs="Times New Roman"/>
          <w:sz w:val="24"/>
          <w:szCs w:val="24"/>
          <w:u w:val="single"/>
          <w:lang w:val="de-DE"/>
        </w:rPr>
      </w:pPr>
      <w:r>
        <w:rPr>
          <w:rFonts w:ascii="Times New Roman" w:eastAsia="Times New Roman" w:hAnsi="Times New Roman" w:cs="Times New Roman"/>
          <w:color w:val="333333"/>
          <w:sz w:val="24"/>
          <w:szCs w:val="24"/>
          <w:shd w:val="clear" w:color="auto" w:fill="FFFFFF"/>
          <w:lang w:val="de-DE"/>
        </w:rPr>
        <w:t>Der Angeklagte ist verpflichtet, sich folgenden Maßnahmen zu unterziehen:</w:t>
      </w:r>
    </w:p>
    <w:p w14:paraId="3483B978" w14:textId="77777777" w:rsidR="00E3090D" w:rsidRPr="00103E85"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lang w:val="de-DE"/>
        </w:rPr>
      </w:pPr>
      <w:r>
        <w:rPr>
          <w:rFonts w:ascii="Times New Roman" w:eastAsia="Times New Roman" w:hAnsi="Times New Roman" w:cs="Times New Roman"/>
          <w:color w:val="333333"/>
          <w:sz w:val="24"/>
          <w:szCs w:val="24"/>
          <w:lang w:val="de-DE"/>
        </w:rPr>
        <w:t>äußerlichen Körperuntersuchungen und anderen Untersuchungen, die keine Verletzung der körperlichen Unversehrtheit mit sich bringen; insbesondere ist es auch zulässig, vom Angeklagten Fingerabdrücke zu nehmen, ihn zu fotografieren und ihn zu Identifizierungszwecken anderen Personen vorzuführen;</w:t>
      </w:r>
    </w:p>
    <w:p w14:paraId="189C2B27" w14:textId="68D4A017" w:rsidR="00E3090D" w:rsidRPr="00103E85"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lang w:val="de-DE"/>
        </w:rPr>
      </w:pPr>
      <w:r>
        <w:rPr>
          <w:rFonts w:ascii="Times New Roman" w:eastAsia="Times New Roman" w:hAnsi="Times New Roman" w:cs="Times New Roman"/>
          <w:color w:val="333333"/>
          <w:sz w:val="24"/>
          <w:szCs w:val="24"/>
          <w:lang w:val="de-DE"/>
        </w:rPr>
        <w:t>psychologischen und psychiatrischen Untersuchungen sowie Untersuchungen, die mit Eingriffen an seinem Körper, mit Ausnahme von chirurgischen Eingriffen, verbunden sind, sofern diese von einer dazu befugten medizinischen Fachkraft unter Beachtung der medizinischen Fachkenntnisse durchgeführt werden und die Gesundheit des Angeklagten nicht gefährden, wenn die Durchführung dieser Untersuchungen unerlässlich ist. Insbesondere ist der Angeklagte unter Einhaltung dieser Bedingungen verpflichtet, sich einer Blut-, Haar- oder Körperflüssigkeitsentnahme zu unterziehen;</w:t>
      </w:r>
    </w:p>
    <w:p w14:paraId="3C6BFBC6" w14:textId="400E72F0" w:rsidR="00E3090D" w:rsidRPr="00103E85" w:rsidRDefault="00E3090D" w:rsidP="003C6351">
      <w:pPr>
        <w:pStyle w:val="Akapitzlist"/>
        <w:numPr>
          <w:ilvl w:val="0"/>
          <w:numId w:val="8"/>
        </w:numPr>
        <w:spacing w:after="0" w:line="276" w:lineRule="auto"/>
        <w:ind w:left="709"/>
        <w:jc w:val="both"/>
        <w:rPr>
          <w:rFonts w:ascii="Times New Roman" w:hAnsi="Times New Roman" w:cs="Times New Roman"/>
          <w:sz w:val="24"/>
          <w:szCs w:val="24"/>
          <w:lang w:val="de-DE"/>
        </w:rPr>
      </w:pPr>
      <w:r>
        <w:rPr>
          <w:rFonts w:ascii="Times New Roman" w:eastAsia="Times New Roman" w:hAnsi="Times New Roman" w:cs="Times New Roman"/>
          <w:color w:val="333333"/>
          <w:sz w:val="24"/>
          <w:szCs w:val="24"/>
          <w:lang w:val="de-DE"/>
        </w:rPr>
        <w:t>einer Entnahme eines Abstrichs aus der Wangenschleimhaut durch einen Polizeibeamten, wenn dies unumgänglich ist und keine Gefahr für die Gesundheit des Angeklagten oder anderer Personen besteht.</w:t>
      </w:r>
    </w:p>
    <w:p w14:paraId="055C4033" w14:textId="779E967B" w:rsidR="00E3090D" w:rsidRPr="003C6351" w:rsidRDefault="00E3090D" w:rsidP="003C6351">
      <w:pPr>
        <w:pStyle w:val="Akapitzlist"/>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de-DE"/>
        </w:rPr>
        <w:t>Bei Weigerung der Erfüllung dieser Pflichten kann der Angeklagte festgenommen und zwangsweise vorgeführt werden, wobei physische Gewalt oder technische Mittel zur Überwältigung angewendet werden können, soweit dies zur Durchführung der jeweiligen Maßnahme erforderlich ist.</w:t>
      </w:r>
      <w:r>
        <w:rPr>
          <w:rFonts w:ascii="Times New Roman" w:hAnsi="Times New Roman" w:cs="Times New Roman"/>
          <w:sz w:val="24"/>
          <w:szCs w:val="24"/>
          <w:lang w:val="de-DE"/>
        </w:rPr>
        <w:t xml:space="preserve"> (Art. 74 §§ 2, 3a StPO)</w:t>
      </w:r>
    </w:p>
    <w:p w14:paraId="73091F97" w14:textId="577781E6" w:rsidR="00E82F2D" w:rsidRPr="00103E85" w:rsidRDefault="00E3090D" w:rsidP="003C6351">
      <w:pPr>
        <w:pStyle w:val="Akapitzlist"/>
        <w:numPr>
          <w:ilvl w:val="0"/>
          <w:numId w:val="7"/>
        </w:numPr>
        <w:spacing w:before="240"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 xml:space="preserve">Der Angeklagte ist verpflichtet, die Ermittlungsbehörde über jede Änderung seines Wohnsitzes oder Aufenthaltsortes, die länger als 7 Tage dauert, einschließlich aufgrund einer Freiheitsentziehung in einem anderen Verfahren, sowie über jede Änderung der in </w:t>
      </w:r>
      <w:r>
        <w:rPr>
          <w:rFonts w:ascii="Times New Roman" w:hAnsi="Times New Roman" w:cs="Times New Roman"/>
          <w:color w:val="333333"/>
          <w:sz w:val="24"/>
          <w:szCs w:val="24"/>
          <w:shd w:val="clear" w:color="auto" w:fill="FFFFFF"/>
          <w:lang w:val="de-DE"/>
        </w:rPr>
        <w:lastRenderedPageBreak/>
        <w:t>Art. 213 § 1 genannten Kontaktdaten, von denen er weiß, dass sie der Ermittlungsbehörde bekannt sind, zu unterrichten. Der Angeklagte ist außerdem verpflichtet, jeder Ladung im Laufe des Strafverfahrens Folge zu leisten. Bei unentschuldigtem Fernbleiben kann der Angeklagte festgenommen und zwangsweise vorgeführt werden. (Art. 75 §§ 1 und 2 StPO). Wenn ein Verfahrensbeteiligter ohne Angabe einer neuen Adresse seinen Wohnsitz wechselt oder sich nicht an der von ihm angegebenen Adresse aufhält, auch aufgrund einer Freiheitsentziehung in einem anderen Verfahren, gilt ein an diese Adresse gesendetes Schriftstück als zugestellt. Dies gilt auch für einen Verfahrensbeteiligten, der einen Antrag auf Zustellung an eine bestimmte Postfachadresse gestellt und die Behörde nicht über eine Änderung dieser Adresse oder die Nichtnutzung dieser Adresse informiert hat (Art. 139 § 1 StPO);</w:t>
      </w:r>
    </w:p>
    <w:p w14:paraId="481FC7F2" w14:textId="1540149D" w:rsidR="00266201" w:rsidRPr="00103E85"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 xml:space="preserve">Die zur Teilnahme an der Verfahrenshandlung berechtigte Person wird über deren Zeitpunkt und Ort informiert, sofern das Gesetz nichts anderes vorsieht. Die Handlung wird nicht durchgeführt, wenn die berechtigte Person nicht erschienen ist und kein Nachweis darüber vorliegt, dass sie darüber informiert wurde, und wenn die begründete Vermutung besteht, dass die Nichterscheinen auf höhere Gewalt oder andere außergewöhnliche Gründe zurückzuführen ist, sowie wenn diese Person ihr Nichterscheinen ordnungsgemäß begründet hat und beantragt, die Handlung ohne ihre Anwesenheit nicht durchzuführen, sofern das Gesetz nichts anderes vorsieht. Die Rechtfertigung des Nichterscheinens aufgrund von Krankheit von Angeklagten, deren Anwesenheit obligatorisch war oder die die Zulassung zu der Handlung beantragt hatten, da sie zur Teilnahme daran berechtigt waren, erfordert die Vorlage einer von einem Gerichtsarzt ausgestellten Bescheinigung zum Nachweis der Unfähigkeit, einer Ladung oder Benachrichtigung der das Verfahren führenden Behörde Folge zu leisten. Diese Bestimmung gilt nicht für Personen, denen die Freiheit entzogen wurde und für deren Rechtfertigung des Nichterscheinens gesonderte </w:t>
      </w:r>
      <w:r>
        <w:rPr>
          <w:rFonts w:ascii="Times New Roman" w:hAnsi="Times New Roman" w:cs="Times New Roman"/>
          <w:sz w:val="24"/>
          <w:szCs w:val="24"/>
          <w:shd w:val="clear" w:color="auto" w:fill="FFFFFF"/>
          <w:lang w:val="de-DE"/>
        </w:rPr>
        <w:t xml:space="preserve">Vorschriften </w:t>
      </w:r>
      <w:r>
        <w:rPr>
          <w:rFonts w:ascii="Times New Roman" w:hAnsi="Times New Roman" w:cs="Times New Roman"/>
          <w:color w:val="333333"/>
          <w:sz w:val="24"/>
          <w:szCs w:val="24"/>
          <w:shd w:val="clear" w:color="auto" w:fill="FFFFFF"/>
          <w:lang w:val="de-DE"/>
        </w:rPr>
        <w:t>gelten. Bei Nichterscheinen eines Verfahrensbeteiligten, eines Verteidigers oder eines Bevollmächtigten, deren Anwesenheit verpflichtend ist, wird die Verfahrenshandlung nicht durchgeführt, sofern das Gesetz nichts anderes vorsieht. Das Nichterscheinen eines Verfahrensbeteiligten, der ordnungsgemäß über die Verfahrenshandlung unterrichtet wurde, steht unabhängig vom Grund nicht der Durchführung dieser Handlung entgegen, wenn sein Verteidiger oder Bevollmächtigter erschienen ist. Dies gilt nicht für Handlungen, an denen der Verfahrensbeteiligte teilnahmepflichtig ist (Art. 117 §§ 1, 2, 2a, 3, 3a, 5 StPO);</w:t>
      </w:r>
    </w:p>
    <w:p w14:paraId="47AA1E02" w14:textId="036BE24F" w:rsidR="00514989" w:rsidRPr="00103E85"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Jeder an das Gericht gerichtete Prozessschriftsatz sollte die Bezeichnung der Behörde, an die er gerichtet ist, und der Sache, auf die er sich bezieht, die Bezeichnung und Anschrift des Antragstellers sowie – im ersten Schriftsatz, der in der Sache eingereicht wird – die Telefonnummer, Faxnummer und E-Mail-Adresse oder eine Erklärung, dass diese nicht vorhanden sind, den Inhalt des Antrags oder der Erklärung, gegebenenfalls mit Begründung, sowie das Datum und die Unterschrift des Einreichenden enthalten. Für Personen, die nicht in der Lage sind, eine Unterschrift zu leisten, wird das Schriftstück von einer von ihnen bevollmächtigten Person unter Angabe des Grundes für die Leistung dieser Unterschrift unterzeichnet (Art. 119 §§ 1 und 2 StPO).</w:t>
      </w:r>
    </w:p>
    <w:p w14:paraId="5CD5A9DE" w14:textId="5D6AD0F3" w:rsidR="00485C27" w:rsidRPr="003C6351"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de-DE"/>
        </w:rPr>
        <w:t xml:space="preserve">Hat der Angeklagte, dessen Anwesenheit in der Verhandlung obligatorisch ist, bereits eine Einlassung abgegeben und den Gerichtssaal ohne Erlaubnis des Vorsitzenden verlassen, </w:t>
      </w:r>
      <w:r>
        <w:rPr>
          <w:rFonts w:ascii="Times New Roman" w:hAnsi="Times New Roman" w:cs="Times New Roman"/>
          <w:color w:val="333333"/>
          <w:sz w:val="24"/>
          <w:szCs w:val="24"/>
          <w:shd w:val="clear" w:color="auto" w:fill="FFFFFF"/>
          <w:lang w:val="de-DE"/>
        </w:rPr>
        <w:lastRenderedPageBreak/>
        <w:t>kann das Gericht die Verhandlung trotz der Abwesenheit des Angeklagten fortsetzen. Das Gericht ordnet die Festnahme und die zwangsweise Vorführung des Angeklagten an, wenn es dessen Anwesenheit für erforderlich hält. Gegen die Entscheidung über die Festnahme und die zwangsweise Vorführung kann Beschwerde an einen anderen gleichgeordneten Spruchkörper desselben Gerichts eingelegt werden.</w:t>
      </w:r>
      <w:r>
        <w:rPr>
          <w:rFonts w:ascii="Times New Roman" w:hAnsi="Times New Roman" w:cs="Times New Roman"/>
          <w:sz w:val="24"/>
          <w:szCs w:val="24"/>
          <w:lang w:val="de-DE"/>
        </w:rPr>
        <w:t xml:space="preserve"> </w:t>
      </w:r>
      <w:r>
        <w:rPr>
          <w:rFonts w:ascii="Times New Roman" w:hAnsi="Times New Roman" w:cs="Times New Roman"/>
          <w:color w:val="333333"/>
          <w:sz w:val="24"/>
          <w:szCs w:val="24"/>
          <w:shd w:val="clear" w:color="auto" w:fill="FFFFFF"/>
          <w:lang w:val="de-DE"/>
        </w:rPr>
        <w:t>Die Bestimmung des § 1 gilt entsprechend, wenn der Angeklagte, dessen Anwesenheit bei der Verhandlung obligatorisch ist, nach der Abgabe von Einlassungen trotz Benachrichtigung über den Termin der vertagten oder unterbrochenen Verhandlung zu diesem Termin ohne Entschuldigung nicht erschienen ist.</w:t>
      </w:r>
      <w:r>
        <w:rPr>
          <w:rFonts w:ascii="Times New Roman" w:hAnsi="Times New Roman" w:cs="Times New Roman"/>
          <w:sz w:val="24"/>
          <w:szCs w:val="24"/>
          <w:lang w:val="de-DE"/>
        </w:rPr>
        <w:t xml:space="preserve"> </w:t>
      </w:r>
      <w:r>
        <w:rPr>
          <w:rFonts w:ascii="Times New Roman" w:hAnsi="Times New Roman" w:cs="Times New Roman"/>
          <w:color w:val="333333"/>
          <w:sz w:val="24"/>
          <w:szCs w:val="24"/>
          <w:shd w:val="clear" w:color="auto" w:fill="FFFFFF"/>
          <w:lang w:val="de-DE"/>
        </w:rPr>
        <w:t>Ist ein Mitangeklagter, der seine Abwesenheit entschuldigt hat, zu der vertagten oder unterbrochenen Verhandlung nicht erschienen, kann das Gericht die Verhandlung in dem Teil fortsetzen, der den abwesenden Angeklagten nicht unmittelbar betrifft, sofern dies sein Recht auf Verteidigung nicht einschränkt.</w:t>
      </w:r>
      <w:r>
        <w:rPr>
          <w:rFonts w:ascii="Times New Roman" w:hAnsi="Times New Roman" w:cs="Times New Roman"/>
          <w:sz w:val="24"/>
          <w:szCs w:val="24"/>
          <w:lang w:val="de-DE"/>
        </w:rPr>
        <w:t xml:space="preserve"> (Art. 376 §§ 1, 2 und 3 StPO);</w:t>
      </w:r>
    </w:p>
    <w:p w14:paraId="65DED3D1" w14:textId="7BDCB550" w:rsidR="0049512F" w:rsidRPr="00103E85"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Hat sich der Angeklagte durch sein Verschulden in einen Zustand versetzt, der ihn an der Teilnahme an der Verhandlung oder Sitzung, an der seine Anwesenheit obligatorisch ist, hindert, kann das Gericht beschließen, das Verfahren trotz seiner Abwesenheit fortzusetzen, selbst wenn er noch keine Einlassung abgegeben hat. Vor Erlass der oben genannten Entscheidung nimmt das Gericht die Bescheinigung des Arztes, der diese Unfähigkeit festgestellt hat, zur Kenntnis oder hört ihn als Sachverständigen an. Der Zustand, der den Angeklagten an der Teilnahme an der Verhandlung hindert, kann auch auf der Grundlage einer Untersuchung festgestellt werden, die keine Verletzung der körperlichen Unversehrtheit mit sich bringt und mit einem geeigneten Gerät durchgeführt wird. Wenn der Angeklagte, dessen Anwesenheit in der Verhandlung oder Sitzung obligatorisch ist, nach Benachrichtigung über den Termin der Verhandlung oder Sitzung erklärt, dass er nicht an der Verhandlung oder Sitzung teilnehmen werde, die Vorführung zur Verhandlung oder Sitzung verhindert oder trotz persönlicher Benachrichtigung unentschuldigt nicht zur Verhandlung oder Sitzung erscheint, kann das Gericht das Verfahren ohne seine Teilnahme durchführen; das Gericht kann jedoch die Festnahme und die zwangsweise Vorführung des Angeklagten anordnen. Gegen die Entscheidung über die Festnahme und die zwangsweise Vorführung kann Beschwerde an einen anderen gleichgeordneten Spruchkörper desselben Gerichts eingelegt werden. Hat der Angeklagte noch keine Einlassung vor Gericht abgegeben, kann Art. 396 § 2 angewendet oder die Verlesung seiner früher abgegebenen Einlassung als ausreichend angesehen werden. Die Vernehmung des Angeklagten kann unter Anwendung der in Art. 177 § 1a genannten Mittel erfolgen (Art. 377 §§ 1, 2, 3 und 4 StPO);</w:t>
      </w:r>
    </w:p>
    <w:p w14:paraId="0B058E78" w14:textId="2218E0B7" w:rsidR="0049512F" w:rsidRPr="00103E85"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 xml:space="preserve">Wenn der Angeklagte oder sein Verteidiger trotz Benachrichtigung über den Verhandlungstermin nicht erschienen ist, kann das Gericht in besonders begründeten Fällen die Beweisaufnahme in seiner Abwesenheit durchführen, auch wenn er sein Fernbleiben ordnungsgemäß begründet hat, und insbesondere die Zeugen, die zur Verhandlung erschienen sind, vernehmen, selbst wenn der Angeklagte noch keine Einlassung abgegeben hat. In diesem Fall sind der Angeklagte oder der Verteidiger zu laden oder über den neuen Verhandlungstermin zu unterrichten, wenn ihnen dieser nicht bekannt war. Hat das Gericht in dem oben genannten Fall die Beweisaufnahme in Abwesenheit des Angeklagten oder des Verteidigers durchgeführt, kann der Angeklagte </w:t>
      </w:r>
      <w:r>
        <w:rPr>
          <w:rFonts w:ascii="Times New Roman" w:hAnsi="Times New Roman" w:cs="Times New Roman"/>
          <w:color w:val="333333"/>
          <w:sz w:val="24"/>
          <w:szCs w:val="24"/>
          <w:shd w:val="clear" w:color="auto" w:fill="FFFFFF"/>
          <w:lang w:val="de-DE"/>
        </w:rPr>
        <w:lastRenderedPageBreak/>
        <w:t>oder der Verteidiger spätestens zum nächsten Verhandlungstermin, über den er ordnungsgemäß informiert wurde und sofern keine verfahrensrechtlichen Hindernisse für sein Erscheinen bestehen, einen Antrag auf ergänzende Durchführung eines in seiner Abwesenheit erhobenen Beweismittels stellen. Das Recht auf Antragstellung besteht nicht, wenn sich herausstellt, dass die Abwesenheit des Angeklagten oder des Verteidigers im Verhandlungstermin, bei dem die Beweisaufnahme auf der oben genannten Grundlage durchgeführt wurde, unentschuldigt war. Wird der oben genannte Antrag nicht fristgerecht gestellt, erlischt das Recht auf dessen Stellung, und es ist im weiteren Verfahren nicht zulässig, eine Verletzung der Verfahrensgarantien, insbesondere des Rechts auf Verteidigung, aufgrund der Durchführung dieser Beweisaufnahme in Abwesenheit des Angeklagten oder des Verteidigers geltend zu machen. In dem Antrag auf ergänzende Beweisaufnahme muss der Angeklagte oder sein Verteidiger nachweisen, dass die Art und Weise der Beweisaufnahme in seiner Abwesenheit die Verfahrensgarantien, insbesondere das Recht auf Verteidigung, verletzt hat. Wird dem Antrag auf ergänzende Beweisaufnahme stattgegeben, führt das Gericht die Beweisaufnahme nur in dem Umfang durch, in dem eine Verletzung der Verfahrensgarantien, insbesondere des Rechts auf Verteidigung, nachgewiesen wurde. Erscheint der Angeklagte oder sein Verteidiger zu dem oben genannten Verhandlungstermin, belehrt ihn der Vorsitzende über die Möglichkeit, einen Antrag auf ergänzende Beweisaufnahme zu stellen, die in seiner Abwesenheit durchgeführt wurde, und gibt ihm Gelegenheit, sich zu dieser Frage zu äußern (Art. 378a §§ 1–7 StPO);</w:t>
      </w:r>
    </w:p>
    <w:p w14:paraId="352B232E" w14:textId="2498B005" w:rsidR="0049512F" w:rsidRPr="00103E85"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lang w:val="de-DE"/>
        </w:rPr>
      </w:pPr>
      <w:r>
        <w:rPr>
          <w:rFonts w:ascii="Times New Roman" w:hAnsi="Times New Roman" w:cs="Times New Roman"/>
          <w:color w:val="333333"/>
          <w:sz w:val="24"/>
          <w:szCs w:val="24"/>
          <w:shd w:val="clear" w:color="auto" w:fill="FFFFFF"/>
          <w:lang w:val="de-DE"/>
        </w:rPr>
        <w:t>Das Nichterscheinen der Verfahrensbeteiligten, ihrer Verteidiger und Bevollmächtigten steht der Verkündung des Urteils nicht entgegen (Art. 419 § 1 StPO);</w:t>
      </w:r>
    </w:p>
    <w:p w14:paraId="4B32050F" w14:textId="030B6976" w:rsidR="0049512F" w:rsidRPr="003C6351"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de-DE"/>
        </w:rPr>
        <w:t>Innerhalb einer Frist von 7 Tagen nach Verkündung des Urteils kann der Verfahrensbeteiligte und im Falle eines bedingten Verfahrensabbruchs, der in der Sitzung verkündet wurde, auch der Geschädigte einen Antrag auf schriftliche Begründung des Urteils und deren Zustellung stellen. Die Abfassung einer Begründung von Amts wegen entbindet den Verfahrensbeteiligten und den Geschädigten nicht von der Einreichung eines Antrags auf Zustellung der Begründung. Der Antrag ist schriftlich zu stellen. Dieser Antrag kann auch von der in Art. 91a genannten verpflichteten Stelle gestellt werden. In dem Antrag ist anzugeben, ob er sich auf das gesamte Urteil oder auf bestimmte Taten bezieht, die der Ankläger dem Angeklagten vorgeworfen hat, oder nur auf die Entscheidung über die Strafe und andere rechtliche Folgen der Tat. Ein Antrag, der nicht vom Angeklagten stammt, sollte auch den Angeklagten angeben, auf den er sich bezieht. Für einen Angeklagten, dem die Freiheit entzogen ist, der keinen Verteidiger hat und trotz eines Antrags auf Vorführung zur Verhandlung, in der das Urteil verkündet wurde, bei der Urteilsverkündung nicht anwesend war, beginnt die Frist von 7 Tagen mit dem Tag der Zustellung des Urteils. Der Präsident des Gerichts lehnt einen Antrag ab, der von einer nicht berechtigten Person oder nach Ablauf der Frist gestellt wurde oder wenn die in Art. 120 § 2 genannten Umstände vorliegen. Gegen die Verfügung kann Beschwerde eingelegt werden. Diese Verfügung kann auch von einem Rechtspfleger erlassen werden. (Art. 422 §§ 1–4 StPO);</w:t>
      </w:r>
    </w:p>
    <w:p w14:paraId="1809CA29" w14:textId="760A94CA" w:rsidR="0049512F" w:rsidRPr="003C6351"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de-DE"/>
        </w:rPr>
        <w:t xml:space="preserve">Die Berufung kann nicht auf dem Vorwurf eines Fehlers in der Tatsachenfeststellung, die der Entscheidung zugrunde gelegt wurde, beruhen, wenn dieser Fehler Einfluss auf den </w:t>
      </w:r>
      <w:r>
        <w:rPr>
          <w:rFonts w:ascii="Times New Roman" w:hAnsi="Times New Roman" w:cs="Times New Roman"/>
          <w:color w:val="333333"/>
          <w:sz w:val="24"/>
          <w:szCs w:val="24"/>
          <w:shd w:val="clear" w:color="auto" w:fill="FFFFFF"/>
          <w:lang w:val="de-DE"/>
        </w:rPr>
        <w:lastRenderedPageBreak/>
        <w:t>Inhalt der Entscheidung gehabt haben könnte, noch auf dem Vorwurf einer offensichtlichen Unverhältnismäßigkeit der Strafe, einer Strafmaßnahme, einer Geldstrafe oder der ungerechtfertigten Anwendung oder Nichtanwendung einer Sicherungsmaßnahme, einer Einziehung oder einer anderen Maßnahme im Zusammenhang mit dem Inhalt der in Art. 343, Art. 343a und Art. 387 genannten Vereinbarung (Art. 447 § 5 StPO).</w:t>
      </w:r>
    </w:p>
    <w:sectPr w:rsidR="0049512F" w:rsidRPr="003C6351" w:rsidSect="0099188A">
      <w:footerReference w:type="default" r:id="rId7"/>
      <w:pgSz w:w="11905" w:h="16832"/>
      <w:pgMar w:top="1418"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18B60" w14:textId="77777777" w:rsidR="004C65C7" w:rsidRDefault="004C65C7" w:rsidP="0099188A">
      <w:pPr>
        <w:spacing w:after="0" w:line="240" w:lineRule="auto"/>
      </w:pPr>
      <w:r>
        <w:separator/>
      </w:r>
    </w:p>
  </w:endnote>
  <w:endnote w:type="continuationSeparator" w:id="0">
    <w:p w14:paraId="261F7AEB" w14:textId="77777777" w:rsidR="004C65C7" w:rsidRDefault="004C65C7" w:rsidP="00991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rPr>
        <w:rFonts w:ascii="Times New Roman" w:hAnsi="Times New Roman" w:cs="Times New Roman"/>
        <w:sz w:val="24"/>
        <w:szCs w:val="24"/>
      </w:rPr>
    </w:sdtEndPr>
    <w:sdtContent>
      <w:p w14:paraId="17218902" w14:textId="3668938E" w:rsidR="0099188A" w:rsidRPr="0099188A" w:rsidRDefault="0099188A" w:rsidP="0099188A">
        <w:pPr>
          <w:pStyle w:val="Stopka"/>
          <w:jc w:val="right"/>
          <w:rPr>
            <w:rFonts w:ascii="Times New Roman" w:hAnsi="Times New Roman" w:cs="Times New Roman"/>
            <w:sz w:val="24"/>
            <w:szCs w:val="24"/>
          </w:rPr>
        </w:pPr>
        <w:r>
          <w:rPr>
            <w:rFonts w:ascii="Times New Roman" w:hAnsi="Times New Roman" w:cs="Times New Roman"/>
            <w:sz w:val="24"/>
            <w:szCs w:val="24"/>
            <w:lang w:val="de-DE"/>
          </w:rPr>
          <w:fldChar w:fldCharType="begin"/>
        </w:r>
        <w:r>
          <w:rPr>
            <w:rFonts w:ascii="Times New Roman" w:hAnsi="Times New Roman" w:cs="Times New Roman"/>
            <w:sz w:val="24"/>
            <w:szCs w:val="24"/>
            <w:lang w:val="de-DE"/>
          </w:rPr>
          <w:instrText>PAGE   \* MERGEFORMAT</w:instrText>
        </w:r>
        <w:r>
          <w:rPr>
            <w:rFonts w:ascii="Times New Roman" w:hAnsi="Times New Roman" w:cs="Times New Roman"/>
            <w:sz w:val="24"/>
            <w:szCs w:val="24"/>
            <w:lang w:val="de-DE"/>
          </w:rPr>
          <w:fldChar w:fldCharType="separate"/>
        </w:r>
        <w:r>
          <w:rPr>
            <w:rFonts w:ascii="Times New Roman" w:hAnsi="Times New Roman" w:cs="Times New Roman"/>
            <w:sz w:val="24"/>
            <w:szCs w:val="24"/>
            <w:lang w:val="de-DE"/>
          </w:rPr>
          <w:t>2</w:t>
        </w:r>
        <w:r>
          <w:rPr>
            <w:rFonts w:ascii="Times New Roman" w:hAnsi="Times New Roman" w:cs="Times New Roman"/>
            <w:sz w:val="24"/>
            <w:szCs w:val="24"/>
            <w:lang w:val="de-D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776CF" w14:textId="77777777" w:rsidR="004C65C7" w:rsidRDefault="004C65C7" w:rsidP="0099188A">
      <w:pPr>
        <w:spacing w:after="0" w:line="240" w:lineRule="auto"/>
      </w:pPr>
      <w:r>
        <w:separator/>
      </w:r>
    </w:p>
  </w:footnote>
  <w:footnote w:type="continuationSeparator" w:id="0">
    <w:p w14:paraId="35BDDB36" w14:textId="77777777" w:rsidR="004C65C7" w:rsidRDefault="004C65C7" w:rsidP="00991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abstractNum w:abstractNumId="3" w15:restartNumberingAfterBreak="0">
    <w:nsid w:val="42D36DB6"/>
    <w:multiLevelType w:val="hybridMultilevel"/>
    <w:tmpl w:val="A716A6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967126"/>
    <w:multiLevelType w:val="hybridMultilevel"/>
    <w:tmpl w:val="20547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5BE10D57"/>
    <w:multiLevelType w:val="hybridMultilevel"/>
    <w:tmpl w:val="F2D80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3819886">
    <w:abstractNumId w:val="0"/>
  </w:num>
  <w:num w:numId="2" w16cid:durableId="632097009">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3" w16cid:durableId="1513101989">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4" w16cid:durableId="2109039091">
    <w:abstractNumId w:val="1"/>
  </w:num>
  <w:num w:numId="5" w16cid:durableId="619340938">
    <w:abstractNumId w:val="2"/>
  </w:num>
  <w:num w:numId="6" w16cid:durableId="450251953">
    <w:abstractNumId w:val="5"/>
  </w:num>
  <w:num w:numId="7" w16cid:durableId="1766463540">
    <w:abstractNumId w:val="3"/>
  </w:num>
  <w:num w:numId="8" w16cid:durableId="1278371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053A"/>
    <w:rsid w:val="00031903"/>
    <w:rsid w:val="00031E2C"/>
    <w:rsid w:val="00077018"/>
    <w:rsid w:val="00084070"/>
    <w:rsid w:val="0009408D"/>
    <w:rsid w:val="000F3F54"/>
    <w:rsid w:val="000F75A7"/>
    <w:rsid w:val="00103E85"/>
    <w:rsid w:val="001130EA"/>
    <w:rsid w:val="001925F4"/>
    <w:rsid w:val="001A2A91"/>
    <w:rsid w:val="002124E5"/>
    <w:rsid w:val="00240EA6"/>
    <w:rsid w:val="00266201"/>
    <w:rsid w:val="003264A4"/>
    <w:rsid w:val="003620A9"/>
    <w:rsid w:val="003C6351"/>
    <w:rsid w:val="00434123"/>
    <w:rsid w:val="00453E89"/>
    <w:rsid w:val="004561CB"/>
    <w:rsid w:val="00485C27"/>
    <w:rsid w:val="0049512F"/>
    <w:rsid w:val="004C65C7"/>
    <w:rsid w:val="004F205D"/>
    <w:rsid w:val="00514989"/>
    <w:rsid w:val="005233E9"/>
    <w:rsid w:val="005B527D"/>
    <w:rsid w:val="00681AE5"/>
    <w:rsid w:val="00721FDF"/>
    <w:rsid w:val="00742E9C"/>
    <w:rsid w:val="00805394"/>
    <w:rsid w:val="008716FB"/>
    <w:rsid w:val="008C26DC"/>
    <w:rsid w:val="008E59E0"/>
    <w:rsid w:val="009827C8"/>
    <w:rsid w:val="0099188A"/>
    <w:rsid w:val="00A221CB"/>
    <w:rsid w:val="00AA5D55"/>
    <w:rsid w:val="00AD7655"/>
    <w:rsid w:val="00AE053A"/>
    <w:rsid w:val="00BB4F1C"/>
    <w:rsid w:val="00C66FA6"/>
    <w:rsid w:val="00CE0C18"/>
    <w:rsid w:val="00DA0E11"/>
    <w:rsid w:val="00DA6AC2"/>
    <w:rsid w:val="00E3090D"/>
    <w:rsid w:val="00E82F2D"/>
    <w:rsid w:val="00ED4CEF"/>
    <w:rsid w:val="00FE4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53CE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918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188A"/>
  </w:style>
  <w:style w:type="paragraph" w:styleId="Stopka">
    <w:name w:val="footer"/>
    <w:basedOn w:val="Normalny"/>
    <w:link w:val="StopkaZnak"/>
    <w:uiPriority w:val="99"/>
    <w:unhideWhenUsed/>
    <w:rsid w:val="009918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88A"/>
  </w:style>
  <w:style w:type="paragraph" w:styleId="Akapitzlist">
    <w:name w:val="List Paragraph"/>
    <w:basedOn w:val="Normalny"/>
    <w:uiPriority w:val="34"/>
    <w:qFormat/>
    <w:rsid w:val="001130EA"/>
    <w:pPr>
      <w:ind w:left="720"/>
      <w:contextualSpacing/>
    </w:pPr>
  </w:style>
  <w:style w:type="character" w:styleId="Hipercze">
    <w:name w:val="Hyperlink"/>
    <w:basedOn w:val="Domylnaczcionkaakapitu"/>
    <w:uiPriority w:val="99"/>
    <w:semiHidden/>
    <w:unhideWhenUsed/>
    <w:rsid w:val="001130EA"/>
    <w:rPr>
      <w:color w:val="0000FF"/>
      <w:u w:val="single"/>
    </w:rPr>
  </w:style>
  <w:style w:type="paragraph" w:styleId="Tekstprzypisukocowego">
    <w:name w:val="endnote text"/>
    <w:basedOn w:val="Normalny"/>
    <w:link w:val="TekstprzypisukocowegoZnak"/>
    <w:uiPriority w:val="99"/>
    <w:semiHidden/>
    <w:unhideWhenUsed/>
    <w:rsid w:val="0051498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4989"/>
    <w:rPr>
      <w:sz w:val="20"/>
      <w:szCs w:val="20"/>
    </w:rPr>
  </w:style>
  <w:style w:type="character" w:styleId="Odwoanieprzypisukocowego">
    <w:name w:val="endnote reference"/>
    <w:basedOn w:val="Domylnaczcionkaakapitu"/>
    <w:uiPriority w:val="99"/>
    <w:semiHidden/>
    <w:unhideWhenUsed/>
    <w:rsid w:val="00514989"/>
    <w:rPr>
      <w:vertAlign w:val="superscript"/>
    </w:rPr>
  </w:style>
  <w:style w:type="character" w:customStyle="1" w:styleId="alb-s">
    <w:name w:val="a_lb-s"/>
    <w:basedOn w:val="Domylnaczcionkaakapitu"/>
    <w:rsid w:val="00805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0055">
      <w:bodyDiv w:val="1"/>
      <w:marLeft w:val="0"/>
      <w:marRight w:val="0"/>
      <w:marTop w:val="0"/>
      <w:marBottom w:val="0"/>
      <w:divBdr>
        <w:top w:val="none" w:sz="0" w:space="0" w:color="auto"/>
        <w:left w:val="none" w:sz="0" w:space="0" w:color="auto"/>
        <w:bottom w:val="none" w:sz="0" w:space="0" w:color="auto"/>
        <w:right w:val="none" w:sz="0" w:space="0" w:color="auto"/>
      </w:divBdr>
      <w:divsChild>
        <w:div w:id="340399816">
          <w:marLeft w:val="0"/>
          <w:marRight w:val="0"/>
          <w:marTop w:val="72"/>
          <w:marBottom w:val="0"/>
          <w:divBdr>
            <w:top w:val="none" w:sz="0" w:space="0" w:color="auto"/>
            <w:left w:val="none" w:sz="0" w:space="0" w:color="auto"/>
            <w:bottom w:val="none" w:sz="0" w:space="0" w:color="auto"/>
            <w:right w:val="none" w:sz="0" w:space="0" w:color="auto"/>
          </w:divBdr>
          <w:divsChild>
            <w:div w:id="12712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42599">
      <w:bodyDiv w:val="1"/>
      <w:marLeft w:val="0"/>
      <w:marRight w:val="0"/>
      <w:marTop w:val="0"/>
      <w:marBottom w:val="0"/>
      <w:divBdr>
        <w:top w:val="none" w:sz="0" w:space="0" w:color="auto"/>
        <w:left w:val="none" w:sz="0" w:space="0" w:color="auto"/>
        <w:bottom w:val="none" w:sz="0" w:space="0" w:color="auto"/>
        <w:right w:val="none" w:sz="0" w:space="0" w:color="auto"/>
      </w:divBdr>
      <w:divsChild>
        <w:div w:id="1221788508">
          <w:marLeft w:val="360"/>
          <w:marRight w:val="0"/>
          <w:marTop w:val="72"/>
          <w:marBottom w:val="72"/>
          <w:divBdr>
            <w:top w:val="none" w:sz="0" w:space="0" w:color="auto"/>
            <w:left w:val="none" w:sz="0" w:space="0" w:color="auto"/>
            <w:bottom w:val="none" w:sz="0" w:space="0" w:color="auto"/>
            <w:right w:val="none" w:sz="0" w:space="0" w:color="auto"/>
          </w:divBdr>
          <w:divsChild>
            <w:div w:id="1893033429">
              <w:marLeft w:val="0"/>
              <w:marRight w:val="0"/>
              <w:marTop w:val="0"/>
              <w:marBottom w:val="0"/>
              <w:divBdr>
                <w:top w:val="none" w:sz="0" w:space="0" w:color="auto"/>
                <w:left w:val="none" w:sz="0" w:space="0" w:color="auto"/>
                <w:bottom w:val="none" w:sz="0" w:space="0" w:color="auto"/>
                <w:right w:val="none" w:sz="0" w:space="0" w:color="auto"/>
              </w:divBdr>
            </w:div>
          </w:divsChild>
        </w:div>
        <w:div w:id="1287928492">
          <w:marLeft w:val="360"/>
          <w:marRight w:val="0"/>
          <w:marTop w:val="0"/>
          <w:marBottom w:val="72"/>
          <w:divBdr>
            <w:top w:val="none" w:sz="0" w:space="0" w:color="auto"/>
            <w:left w:val="none" w:sz="0" w:space="0" w:color="auto"/>
            <w:bottom w:val="none" w:sz="0" w:space="0" w:color="auto"/>
            <w:right w:val="none" w:sz="0" w:space="0" w:color="auto"/>
          </w:divBdr>
          <w:divsChild>
            <w:div w:id="1905137234">
              <w:marLeft w:val="0"/>
              <w:marRight w:val="0"/>
              <w:marTop w:val="0"/>
              <w:marBottom w:val="0"/>
              <w:divBdr>
                <w:top w:val="none" w:sz="0" w:space="0" w:color="auto"/>
                <w:left w:val="none" w:sz="0" w:space="0" w:color="auto"/>
                <w:bottom w:val="none" w:sz="0" w:space="0" w:color="auto"/>
                <w:right w:val="none" w:sz="0" w:space="0" w:color="auto"/>
              </w:divBdr>
            </w:div>
          </w:divsChild>
        </w:div>
        <w:div w:id="1902280065">
          <w:marLeft w:val="360"/>
          <w:marRight w:val="0"/>
          <w:marTop w:val="0"/>
          <w:marBottom w:val="72"/>
          <w:divBdr>
            <w:top w:val="none" w:sz="0" w:space="0" w:color="auto"/>
            <w:left w:val="none" w:sz="0" w:space="0" w:color="auto"/>
            <w:bottom w:val="none" w:sz="0" w:space="0" w:color="auto"/>
            <w:right w:val="none" w:sz="0" w:space="0" w:color="auto"/>
          </w:divBdr>
          <w:divsChild>
            <w:div w:id="166412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3947</Words>
  <Characters>24669</Characters>
  <Application>Microsoft Office Word</Application>
  <DocSecurity>0</DocSecurity>
  <Lines>357</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2026-03-19T12:27:00Z</dcterms:created>
  <dcterms:modified xsi:type="dcterms:W3CDTF">2026-03-19T12:27:00Z</dcterms:modified>
</cp:coreProperties>
</file>